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4A" w:rsidRPr="00595296" w:rsidRDefault="00576B4A" w:rsidP="00576B4A">
      <w:pPr>
        <w:widowControl w:val="0"/>
        <w:tabs>
          <w:tab w:val="left" w:pos="567"/>
        </w:tabs>
        <w:jc w:val="both"/>
        <w:rPr>
          <w:rFonts w:ascii="Arial" w:hAnsi="Arial" w:cs="Arial"/>
          <w:bCs/>
          <w:sz w:val="22"/>
          <w:szCs w:val="22"/>
        </w:rPr>
      </w:pPr>
      <w:bookmarkStart w:id="0" w:name="_GoBack"/>
      <w:bookmarkEnd w:id="0"/>
    </w:p>
    <w:p w:rsidR="00576B4A" w:rsidRPr="00595296" w:rsidRDefault="00576B4A" w:rsidP="00576B4A">
      <w:pPr>
        <w:widowControl w:val="0"/>
        <w:numPr>
          <w:ilvl w:val="0"/>
          <w:numId w:val="1"/>
        </w:numPr>
        <w:tabs>
          <w:tab w:val="clear" w:pos="720"/>
          <w:tab w:val="left" w:pos="567"/>
        </w:tabs>
        <w:ind w:left="567" w:hanging="567"/>
        <w:jc w:val="both"/>
        <w:rPr>
          <w:rFonts w:ascii="Arial" w:hAnsi="Arial" w:cs="Arial"/>
          <w:bCs/>
          <w:sz w:val="22"/>
          <w:szCs w:val="22"/>
        </w:rPr>
      </w:pPr>
      <w:r w:rsidRPr="00595296">
        <w:rPr>
          <w:rFonts w:ascii="Arial" w:hAnsi="Arial" w:cs="Arial"/>
          <w:bCs/>
          <w:sz w:val="22"/>
          <w:szCs w:val="22"/>
        </w:rPr>
        <w:t xml:space="preserve">The Credit (Commonwealth Powers) Bill 2009 (the Bill) refers constitutional power for credit and advice to the Commonwealth and repeals the </w:t>
      </w:r>
      <w:r w:rsidRPr="00595296">
        <w:rPr>
          <w:rFonts w:ascii="Arial" w:hAnsi="Arial" w:cs="Arial"/>
          <w:bCs/>
          <w:i/>
          <w:sz w:val="22"/>
          <w:szCs w:val="22"/>
        </w:rPr>
        <w:t>Credit Act 1987</w:t>
      </w:r>
      <w:r w:rsidRPr="00595296">
        <w:rPr>
          <w:rFonts w:ascii="Arial" w:hAnsi="Arial" w:cs="Arial"/>
          <w:bCs/>
          <w:sz w:val="22"/>
          <w:szCs w:val="22"/>
        </w:rPr>
        <w:t xml:space="preserve">, </w:t>
      </w:r>
      <w:r w:rsidRPr="00595296">
        <w:rPr>
          <w:rFonts w:ascii="Arial" w:hAnsi="Arial" w:cs="Arial"/>
          <w:bCs/>
          <w:i/>
          <w:sz w:val="22"/>
          <w:szCs w:val="22"/>
        </w:rPr>
        <w:t>Consumer Credit (Queensland) Act 1994</w:t>
      </w:r>
      <w:r w:rsidRPr="00595296">
        <w:rPr>
          <w:rFonts w:ascii="Arial" w:hAnsi="Arial" w:cs="Arial"/>
          <w:bCs/>
          <w:sz w:val="22"/>
          <w:szCs w:val="22"/>
        </w:rPr>
        <w:t xml:space="preserve">, the appended template Credit Code and supporting Regulations.  </w:t>
      </w:r>
    </w:p>
    <w:p w:rsidR="00576B4A" w:rsidRPr="00595296" w:rsidRDefault="00576B4A" w:rsidP="00576B4A">
      <w:pPr>
        <w:widowControl w:val="0"/>
        <w:tabs>
          <w:tab w:val="left" w:pos="567"/>
        </w:tabs>
        <w:jc w:val="both"/>
        <w:rPr>
          <w:rFonts w:ascii="Arial" w:hAnsi="Arial" w:cs="Arial"/>
          <w:bCs/>
          <w:sz w:val="22"/>
          <w:szCs w:val="22"/>
        </w:rPr>
      </w:pPr>
    </w:p>
    <w:p w:rsidR="00576B4A" w:rsidRPr="00595296" w:rsidRDefault="00576B4A" w:rsidP="00576B4A">
      <w:pPr>
        <w:widowControl w:val="0"/>
        <w:numPr>
          <w:ilvl w:val="0"/>
          <w:numId w:val="1"/>
        </w:numPr>
        <w:tabs>
          <w:tab w:val="clear" w:pos="720"/>
          <w:tab w:val="left" w:pos="567"/>
        </w:tabs>
        <w:ind w:left="567" w:hanging="567"/>
        <w:jc w:val="both"/>
        <w:rPr>
          <w:rFonts w:ascii="Arial" w:hAnsi="Arial" w:cs="Arial"/>
          <w:bCs/>
          <w:sz w:val="22"/>
          <w:szCs w:val="22"/>
        </w:rPr>
      </w:pPr>
      <w:r w:rsidRPr="00595296">
        <w:rPr>
          <w:rFonts w:ascii="Arial" w:hAnsi="Arial" w:cs="Arial"/>
          <w:bCs/>
          <w:sz w:val="22"/>
          <w:szCs w:val="22"/>
        </w:rPr>
        <w:t>Following introduction of the</w:t>
      </w:r>
      <w:r w:rsidRPr="00595296">
        <w:rPr>
          <w:rFonts w:ascii="Arial" w:hAnsi="Arial" w:cs="Arial"/>
          <w:bCs/>
          <w:i/>
          <w:sz w:val="22"/>
          <w:szCs w:val="22"/>
        </w:rPr>
        <w:t xml:space="preserve"> </w:t>
      </w:r>
      <w:r w:rsidRPr="00595296">
        <w:rPr>
          <w:rFonts w:ascii="Arial" w:hAnsi="Arial" w:cs="Arial"/>
          <w:bCs/>
          <w:sz w:val="22"/>
          <w:szCs w:val="22"/>
        </w:rPr>
        <w:t>Bill</w:t>
      </w:r>
      <w:r w:rsidRPr="00595296">
        <w:rPr>
          <w:rFonts w:ascii="Arial" w:hAnsi="Arial" w:cs="Arial"/>
          <w:bCs/>
          <w:i/>
          <w:sz w:val="22"/>
          <w:szCs w:val="22"/>
        </w:rPr>
        <w:t>,</w:t>
      </w:r>
      <w:r w:rsidRPr="00595296">
        <w:rPr>
          <w:rFonts w:ascii="Arial" w:hAnsi="Arial" w:cs="Arial"/>
          <w:bCs/>
          <w:sz w:val="22"/>
          <w:szCs w:val="22"/>
        </w:rPr>
        <w:t xml:space="preserve"> the Commonwealth and the State Governments agreed to modify the terms of the referred amendment power and agreed to allow the states to adopt the Commonwealth legislation and refer an amendment power.  The objectives of the proposed amendments to the Bill are to clarify the scope of the referred amendment power and to adopt the Commonwealth legislation and refer an amendment power to ensure the Constitutional soundness of the referral of consumer credit powers.</w:t>
      </w:r>
    </w:p>
    <w:p w:rsidR="00576B4A" w:rsidRPr="00595296" w:rsidRDefault="00576B4A" w:rsidP="00576B4A">
      <w:pPr>
        <w:widowControl w:val="0"/>
        <w:tabs>
          <w:tab w:val="left" w:pos="567"/>
        </w:tabs>
        <w:jc w:val="both"/>
        <w:rPr>
          <w:rFonts w:ascii="Arial" w:hAnsi="Arial" w:cs="Arial"/>
          <w:bCs/>
          <w:sz w:val="22"/>
          <w:szCs w:val="22"/>
        </w:rPr>
      </w:pPr>
    </w:p>
    <w:p w:rsidR="00576B4A" w:rsidRPr="00595296" w:rsidRDefault="00576B4A" w:rsidP="00576B4A">
      <w:pPr>
        <w:widowControl w:val="0"/>
        <w:numPr>
          <w:ilvl w:val="0"/>
          <w:numId w:val="1"/>
        </w:numPr>
        <w:tabs>
          <w:tab w:val="clear" w:pos="720"/>
          <w:tab w:val="left" w:pos="567"/>
        </w:tabs>
        <w:ind w:left="567" w:hanging="567"/>
        <w:jc w:val="both"/>
        <w:rPr>
          <w:rFonts w:ascii="Arial" w:hAnsi="Arial" w:cs="Arial"/>
          <w:bCs/>
          <w:sz w:val="22"/>
          <w:szCs w:val="22"/>
        </w:rPr>
      </w:pPr>
      <w:r w:rsidRPr="00595296">
        <w:rPr>
          <w:rFonts w:ascii="Arial" w:hAnsi="Arial" w:cs="Arial"/>
          <w:bCs/>
          <w:sz w:val="22"/>
          <w:szCs w:val="22"/>
        </w:rPr>
        <w:t>The matters excluded from the amendment reference relate to the imposition of state taxes, the system for recording of estates or interests in land, the priority of estates or interests in real property and state statutory rights.</w:t>
      </w:r>
    </w:p>
    <w:p w:rsidR="00576B4A" w:rsidRPr="00595296" w:rsidRDefault="00576B4A" w:rsidP="00576B4A">
      <w:pPr>
        <w:widowControl w:val="0"/>
        <w:tabs>
          <w:tab w:val="left" w:pos="567"/>
        </w:tabs>
        <w:jc w:val="both"/>
        <w:rPr>
          <w:rFonts w:ascii="Arial" w:hAnsi="Arial" w:cs="Arial"/>
          <w:bCs/>
          <w:sz w:val="22"/>
          <w:szCs w:val="22"/>
        </w:rPr>
      </w:pPr>
    </w:p>
    <w:p w:rsidR="00576B4A" w:rsidRPr="00595296" w:rsidRDefault="00576B4A" w:rsidP="00576B4A">
      <w:pPr>
        <w:widowControl w:val="0"/>
        <w:numPr>
          <w:ilvl w:val="0"/>
          <w:numId w:val="1"/>
        </w:numPr>
        <w:tabs>
          <w:tab w:val="clear" w:pos="720"/>
          <w:tab w:val="left" w:pos="567"/>
        </w:tabs>
        <w:ind w:left="567" w:hanging="567"/>
        <w:jc w:val="both"/>
        <w:rPr>
          <w:rFonts w:ascii="Arial" w:hAnsi="Arial" w:cs="Arial"/>
          <w:bCs/>
          <w:sz w:val="22"/>
          <w:szCs w:val="22"/>
        </w:rPr>
      </w:pPr>
      <w:r w:rsidRPr="00595296">
        <w:rPr>
          <w:rFonts w:ascii="Arial" w:hAnsi="Arial" w:cs="Arial"/>
          <w:bCs/>
          <w:sz w:val="22"/>
          <w:szCs w:val="22"/>
          <w:u w:val="single"/>
        </w:rPr>
        <w:t>Cabinet approved</w:t>
      </w:r>
      <w:r w:rsidRPr="00595296">
        <w:rPr>
          <w:rFonts w:ascii="Arial" w:hAnsi="Arial" w:cs="Arial"/>
          <w:bCs/>
          <w:sz w:val="22"/>
          <w:szCs w:val="22"/>
        </w:rPr>
        <w:t xml:space="preserve"> </w:t>
      </w:r>
    </w:p>
    <w:p w:rsidR="00576B4A" w:rsidRPr="00595296" w:rsidRDefault="00576B4A" w:rsidP="00576B4A">
      <w:pPr>
        <w:widowControl w:val="0"/>
        <w:numPr>
          <w:ilvl w:val="1"/>
          <w:numId w:val="3"/>
        </w:numPr>
        <w:tabs>
          <w:tab w:val="clear" w:pos="1437"/>
          <w:tab w:val="left" w:pos="1134"/>
        </w:tabs>
        <w:ind w:left="1134" w:hanging="567"/>
        <w:jc w:val="both"/>
        <w:rPr>
          <w:rFonts w:ascii="Arial" w:hAnsi="Arial" w:cs="Arial"/>
          <w:sz w:val="22"/>
          <w:szCs w:val="22"/>
        </w:rPr>
      </w:pPr>
      <w:r w:rsidRPr="00595296">
        <w:rPr>
          <w:rFonts w:ascii="Arial" w:hAnsi="Arial" w:cs="Arial"/>
          <w:sz w:val="22"/>
          <w:szCs w:val="22"/>
        </w:rPr>
        <w:t xml:space="preserve">Amending the Credit (Commonwealth Powers) Bill 2009 during the consideration in detail stage to enable an adoption of the </w:t>
      </w:r>
      <w:r w:rsidRPr="00595296">
        <w:rPr>
          <w:rFonts w:ascii="Arial" w:hAnsi="Arial" w:cs="Arial"/>
          <w:i/>
          <w:sz w:val="22"/>
          <w:szCs w:val="22"/>
        </w:rPr>
        <w:t>National Consumer Credit Protection Act 2009</w:t>
      </w:r>
      <w:r w:rsidRPr="00595296">
        <w:rPr>
          <w:rFonts w:ascii="Arial" w:hAnsi="Arial" w:cs="Arial"/>
          <w:sz w:val="22"/>
          <w:szCs w:val="22"/>
        </w:rPr>
        <w:t xml:space="preserve"> (Cth) and refer an amendment power (the amendment reference) to the Commonwealth Parliament and the addition of agreed exclusions or ‘carve out’ provisions to the amendment reference.  </w:t>
      </w:r>
    </w:p>
    <w:p w:rsidR="00576B4A" w:rsidRPr="00595296" w:rsidRDefault="00576B4A" w:rsidP="00576B4A">
      <w:pPr>
        <w:widowControl w:val="0"/>
        <w:numPr>
          <w:ilvl w:val="1"/>
          <w:numId w:val="3"/>
        </w:numPr>
        <w:tabs>
          <w:tab w:val="clear" w:pos="1437"/>
          <w:tab w:val="left" w:pos="1134"/>
        </w:tabs>
        <w:ind w:left="1134" w:hanging="567"/>
        <w:jc w:val="both"/>
        <w:rPr>
          <w:rFonts w:ascii="Arial" w:hAnsi="Arial" w:cs="Arial"/>
          <w:bCs/>
          <w:sz w:val="22"/>
          <w:szCs w:val="22"/>
        </w:rPr>
      </w:pPr>
      <w:r w:rsidRPr="00595296">
        <w:rPr>
          <w:rFonts w:ascii="Arial" w:hAnsi="Arial" w:cs="Arial"/>
          <w:sz w:val="22"/>
          <w:szCs w:val="22"/>
        </w:rPr>
        <w:t xml:space="preserve">Amending the National Credit Law Inter-Governmental Agreement to reflect the adoption of the </w:t>
      </w:r>
      <w:r w:rsidRPr="00595296">
        <w:rPr>
          <w:rFonts w:ascii="Arial" w:hAnsi="Arial" w:cs="Arial"/>
          <w:i/>
          <w:sz w:val="22"/>
          <w:szCs w:val="22"/>
        </w:rPr>
        <w:t>National Consumer Credit Protection Act 2009</w:t>
      </w:r>
      <w:r w:rsidRPr="00595296">
        <w:rPr>
          <w:rFonts w:ascii="Arial" w:hAnsi="Arial" w:cs="Arial"/>
          <w:sz w:val="22"/>
          <w:szCs w:val="22"/>
        </w:rPr>
        <w:t xml:space="preserve"> (Cth) and for the Premier to sign the amended Agreement.</w:t>
      </w:r>
    </w:p>
    <w:p w:rsidR="00576B4A" w:rsidRPr="00595296" w:rsidRDefault="00576B4A" w:rsidP="00576B4A">
      <w:pPr>
        <w:widowControl w:val="0"/>
        <w:tabs>
          <w:tab w:val="left" w:pos="567"/>
        </w:tabs>
        <w:jc w:val="both"/>
        <w:rPr>
          <w:rFonts w:ascii="Arial" w:hAnsi="Arial" w:cs="Arial"/>
          <w:sz w:val="22"/>
          <w:szCs w:val="22"/>
        </w:rPr>
      </w:pPr>
    </w:p>
    <w:p w:rsidR="00576B4A" w:rsidRPr="00595296" w:rsidRDefault="00576B4A" w:rsidP="00595296">
      <w:pPr>
        <w:widowControl w:val="0"/>
        <w:numPr>
          <w:ilvl w:val="0"/>
          <w:numId w:val="1"/>
        </w:numPr>
        <w:tabs>
          <w:tab w:val="clear" w:pos="720"/>
          <w:tab w:val="left" w:pos="567"/>
        </w:tabs>
        <w:spacing w:before="120"/>
        <w:ind w:left="567" w:hanging="567"/>
        <w:jc w:val="both"/>
        <w:rPr>
          <w:rFonts w:ascii="Arial" w:hAnsi="Arial" w:cs="Arial"/>
          <w:sz w:val="22"/>
          <w:szCs w:val="22"/>
        </w:rPr>
      </w:pPr>
      <w:r w:rsidRPr="00595296">
        <w:rPr>
          <w:rFonts w:ascii="Arial" w:hAnsi="Arial" w:cs="Arial"/>
          <w:i/>
          <w:sz w:val="22"/>
          <w:szCs w:val="22"/>
          <w:u w:val="single"/>
        </w:rPr>
        <w:t>Attachments</w:t>
      </w:r>
    </w:p>
    <w:p w:rsidR="00576B4A" w:rsidRPr="00595296" w:rsidRDefault="00064FC1" w:rsidP="00595296">
      <w:pPr>
        <w:widowControl w:val="0"/>
        <w:numPr>
          <w:ilvl w:val="0"/>
          <w:numId w:val="2"/>
        </w:numPr>
        <w:tabs>
          <w:tab w:val="clear" w:pos="814"/>
          <w:tab w:val="left" w:pos="1134"/>
        </w:tabs>
        <w:spacing w:before="120"/>
        <w:ind w:left="1134" w:hanging="567"/>
        <w:jc w:val="both"/>
        <w:rPr>
          <w:rFonts w:ascii="Arial" w:hAnsi="Arial" w:cs="Arial"/>
          <w:sz w:val="22"/>
          <w:szCs w:val="22"/>
        </w:rPr>
      </w:pPr>
      <w:hyperlink r:id="rId7" w:history="1">
        <w:r w:rsidR="00576B4A" w:rsidRPr="00595296">
          <w:rPr>
            <w:rStyle w:val="Hyperlink"/>
            <w:rFonts w:ascii="Arial" w:hAnsi="Arial" w:cs="Arial"/>
            <w:sz w:val="22"/>
            <w:szCs w:val="22"/>
          </w:rPr>
          <w:t>Credit (Commonwealth Powers) Bill 2009</w:t>
        </w:r>
      </w:hyperlink>
    </w:p>
    <w:p w:rsidR="00576B4A" w:rsidRPr="00595296" w:rsidRDefault="00064FC1" w:rsidP="00595296">
      <w:pPr>
        <w:widowControl w:val="0"/>
        <w:numPr>
          <w:ilvl w:val="0"/>
          <w:numId w:val="2"/>
        </w:numPr>
        <w:tabs>
          <w:tab w:val="clear" w:pos="814"/>
          <w:tab w:val="left" w:pos="1134"/>
        </w:tabs>
        <w:spacing w:before="120"/>
        <w:ind w:left="1134" w:hanging="567"/>
        <w:jc w:val="both"/>
        <w:rPr>
          <w:rFonts w:ascii="Arial" w:hAnsi="Arial" w:cs="Arial"/>
          <w:sz w:val="22"/>
          <w:szCs w:val="22"/>
        </w:rPr>
      </w:pPr>
      <w:hyperlink r:id="rId8" w:history="1">
        <w:r w:rsidR="00576B4A" w:rsidRPr="00595296">
          <w:rPr>
            <w:rStyle w:val="Hyperlink"/>
            <w:rFonts w:ascii="Arial" w:hAnsi="Arial" w:cs="Arial"/>
            <w:sz w:val="22"/>
            <w:szCs w:val="22"/>
          </w:rPr>
          <w:t>Explanatory Notes for the Credit (Commonwealth Powers) Bill 2009</w:t>
        </w:r>
      </w:hyperlink>
    </w:p>
    <w:p w:rsidR="00591E38" w:rsidRPr="00595296" w:rsidRDefault="00064FC1" w:rsidP="00595296">
      <w:pPr>
        <w:widowControl w:val="0"/>
        <w:numPr>
          <w:ilvl w:val="0"/>
          <w:numId w:val="2"/>
        </w:numPr>
        <w:tabs>
          <w:tab w:val="clear" w:pos="814"/>
          <w:tab w:val="left" w:pos="1134"/>
        </w:tabs>
        <w:spacing w:before="120"/>
        <w:ind w:left="1134" w:hanging="567"/>
        <w:jc w:val="both"/>
        <w:rPr>
          <w:rFonts w:ascii="Arial" w:hAnsi="Arial" w:cs="Arial"/>
          <w:sz w:val="22"/>
          <w:szCs w:val="22"/>
        </w:rPr>
      </w:pPr>
      <w:hyperlink r:id="rId9" w:history="1">
        <w:r w:rsidR="00591E38" w:rsidRPr="00595296">
          <w:rPr>
            <w:rStyle w:val="Hyperlink"/>
            <w:rFonts w:ascii="Arial" w:hAnsi="Arial" w:cs="Arial"/>
            <w:sz w:val="22"/>
            <w:szCs w:val="22"/>
          </w:rPr>
          <w:t>Credit (Commonwealth Powers) Bill 2009 – Amendments to be moved during consideration in detail</w:t>
        </w:r>
      </w:hyperlink>
    </w:p>
    <w:p w:rsidR="00D40904" w:rsidRPr="00595296" w:rsidRDefault="00064FC1" w:rsidP="00595296">
      <w:pPr>
        <w:widowControl w:val="0"/>
        <w:numPr>
          <w:ilvl w:val="0"/>
          <w:numId w:val="2"/>
        </w:numPr>
        <w:tabs>
          <w:tab w:val="clear" w:pos="814"/>
          <w:tab w:val="left" w:pos="1134"/>
        </w:tabs>
        <w:spacing w:before="120"/>
        <w:ind w:left="1134" w:hanging="567"/>
        <w:jc w:val="both"/>
        <w:rPr>
          <w:rFonts w:ascii="Arial" w:hAnsi="Arial" w:cs="Arial"/>
          <w:sz w:val="22"/>
          <w:szCs w:val="22"/>
        </w:rPr>
      </w:pPr>
      <w:hyperlink r:id="rId10" w:history="1">
        <w:r w:rsidR="00576B4A" w:rsidRPr="00595296">
          <w:rPr>
            <w:rStyle w:val="Hyperlink"/>
            <w:rFonts w:ascii="Arial" w:hAnsi="Arial" w:cs="Arial"/>
            <w:sz w:val="22"/>
            <w:szCs w:val="22"/>
          </w:rPr>
          <w:t>Additional Explanatory Notes for the Credit (Commonwealth Powers) Bill 2009 – Amendments to be moved during consideration in detail</w:t>
        </w:r>
      </w:hyperlink>
    </w:p>
    <w:sectPr w:rsidR="00D40904" w:rsidRPr="00595296">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8B1" w:rsidRDefault="005F38B1">
      <w:r>
        <w:separator/>
      </w:r>
    </w:p>
  </w:endnote>
  <w:endnote w:type="continuationSeparator" w:id="0">
    <w:p w:rsidR="005F38B1" w:rsidRDefault="005F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8B1" w:rsidRDefault="005F38B1">
      <w:r>
        <w:separator/>
      </w:r>
    </w:p>
  </w:footnote>
  <w:footnote w:type="continuationSeparator" w:id="0">
    <w:p w:rsidR="005F38B1" w:rsidRDefault="005F3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296" w:rsidRPr="00595296" w:rsidRDefault="00595296" w:rsidP="00595296">
    <w:pPr>
      <w:pStyle w:val="Header"/>
      <w:ind w:firstLine="2880"/>
      <w:rPr>
        <w:rFonts w:cs="Arial"/>
        <w:b/>
        <w:sz w:val="22"/>
        <w:szCs w:val="22"/>
        <w:u w:val="single"/>
      </w:rPr>
    </w:pPr>
  </w:p>
  <w:p w:rsidR="00595296" w:rsidRPr="00595296" w:rsidRDefault="00595296" w:rsidP="00595296">
    <w:pPr>
      <w:pStyle w:val="Header"/>
      <w:ind w:firstLine="2880"/>
      <w:rPr>
        <w:rFonts w:cs="Arial"/>
        <w:b/>
        <w:sz w:val="22"/>
        <w:szCs w:val="22"/>
        <w:u w:val="single"/>
      </w:rPr>
    </w:pPr>
    <w:r w:rsidRPr="00595296">
      <w:rPr>
        <w:rFonts w:cs="Arial"/>
        <w:noProof/>
        <w:sz w:val="22"/>
        <w:szCs w:val="22"/>
        <w:lang w:eastAsia="en-AU"/>
      </w:rPr>
      <w:drawing>
        <wp:anchor distT="0" distB="0" distL="114300" distR="114300" simplePos="0" relativeHeight="251659264" behindDoc="0" locked="0" layoutInCell="1" allowOverlap="1" wp14:anchorId="259612DC" wp14:editId="095E485C">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Pr="00595296">
      <w:rPr>
        <w:rFonts w:cs="Arial"/>
        <w:b/>
        <w:sz w:val="22"/>
        <w:szCs w:val="22"/>
        <w:u w:val="single"/>
      </w:rPr>
      <w:t>Cabinet –</w:t>
    </w:r>
    <w:r>
      <w:rPr>
        <w:rFonts w:cs="Arial"/>
        <w:b/>
        <w:sz w:val="22"/>
        <w:szCs w:val="22"/>
        <w:u w:val="single"/>
      </w:rPr>
      <w:t xml:space="preserve"> </w:t>
    </w:r>
    <w:r w:rsidRPr="00595296">
      <w:rPr>
        <w:rFonts w:cs="Arial"/>
        <w:b/>
        <w:sz w:val="22"/>
        <w:szCs w:val="22"/>
        <w:u w:val="single"/>
      </w:rPr>
      <w:t>April 2010</w:t>
    </w:r>
  </w:p>
  <w:p w:rsidR="00595296" w:rsidRPr="00595296" w:rsidRDefault="00595296" w:rsidP="00595296">
    <w:pPr>
      <w:pStyle w:val="Header"/>
      <w:rPr>
        <w:rFonts w:cs="Arial"/>
        <w:b/>
        <w:sz w:val="22"/>
        <w:szCs w:val="22"/>
        <w:u w:val="single"/>
      </w:rPr>
    </w:pPr>
  </w:p>
  <w:p w:rsidR="00595296" w:rsidRPr="00595296" w:rsidRDefault="00595296" w:rsidP="00595296">
    <w:pPr>
      <w:jc w:val="both"/>
      <w:rPr>
        <w:rFonts w:ascii="Arial" w:hAnsi="Arial" w:cs="Arial"/>
        <w:b/>
        <w:sz w:val="22"/>
        <w:szCs w:val="22"/>
        <w:u w:val="single"/>
      </w:rPr>
    </w:pPr>
    <w:r w:rsidRPr="00595296">
      <w:rPr>
        <w:rFonts w:ascii="Arial" w:hAnsi="Arial" w:cs="Arial"/>
        <w:b/>
        <w:sz w:val="22"/>
        <w:szCs w:val="22"/>
        <w:u w:val="single"/>
      </w:rPr>
      <w:t>Credit (Commonwealth Powers) Bill 2009 – Amendments to be moved during Consideration in Detail</w:t>
    </w:r>
  </w:p>
  <w:p w:rsidR="00595296" w:rsidRPr="00595296" w:rsidRDefault="00595296" w:rsidP="00595296">
    <w:pPr>
      <w:pStyle w:val="Header"/>
      <w:spacing w:before="120"/>
      <w:rPr>
        <w:rFonts w:cs="Arial"/>
        <w:b/>
        <w:sz w:val="22"/>
        <w:szCs w:val="22"/>
        <w:u w:val="single"/>
      </w:rPr>
    </w:pPr>
    <w:r w:rsidRPr="00595296">
      <w:rPr>
        <w:rFonts w:cs="Arial"/>
        <w:b/>
        <w:sz w:val="22"/>
        <w:szCs w:val="22"/>
        <w:u w:val="single"/>
      </w:rPr>
      <w:t>Minister for Tourism and Fair Trading</w:t>
    </w:r>
  </w:p>
  <w:p w:rsidR="00595296" w:rsidRDefault="00595296" w:rsidP="00595296">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D460D"/>
    <w:multiLevelType w:val="hybridMultilevel"/>
    <w:tmpl w:val="42AC3928"/>
    <w:lvl w:ilvl="0" w:tplc="F6327546">
      <w:start w:val="1"/>
      <w:numFmt w:val="bullet"/>
      <w:lvlText w:val=""/>
      <w:lvlJc w:val="left"/>
      <w:pPr>
        <w:tabs>
          <w:tab w:val="num" w:pos="683"/>
        </w:tabs>
        <w:ind w:left="683" w:hanging="323"/>
      </w:pPr>
      <w:rPr>
        <w:rFonts w:ascii="Symbol" w:hAnsi="Symbol" w:hint="default"/>
        <w:color w:val="auto"/>
        <w:sz w:val="24"/>
        <w:szCs w:val="24"/>
      </w:rPr>
    </w:lvl>
    <w:lvl w:ilvl="1" w:tplc="A2C863BC">
      <w:start w:val="1"/>
      <w:numFmt w:val="bullet"/>
      <w:lvlText w:val=""/>
      <w:lvlJc w:val="left"/>
      <w:pPr>
        <w:tabs>
          <w:tab w:val="num" w:pos="1437"/>
        </w:tabs>
        <w:ind w:left="1437" w:hanging="357"/>
      </w:pPr>
      <w:rPr>
        <w:rFonts w:ascii="Symbol" w:hAnsi="Symbol" w:hint="default"/>
        <w:b w:val="0"/>
        <w:i w:val="0"/>
        <w:color w:val="auto"/>
        <w:sz w:val="24"/>
        <w:szCs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4A"/>
    <w:rsid w:val="00064FC1"/>
    <w:rsid w:val="001E44B8"/>
    <w:rsid w:val="002B4DA8"/>
    <w:rsid w:val="00412F90"/>
    <w:rsid w:val="00487193"/>
    <w:rsid w:val="00576B4A"/>
    <w:rsid w:val="00590C62"/>
    <w:rsid w:val="00591E38"/>
    <w:rsid w:val="00595296"/>
    <w:rsid w:val="005F38B1"/>
    <w:rsid w:val="007E0F72"/>
    <w:rsid w:val="00823B9D"/>
    <w:rsid w:val="008A0287"/>
    <w:rsid w:val="009357E6"/>
    <w:rsid w:val="00962363"/>
    <w:rsid w:val="00973FEC"/>
    <w:rsid w:val="009B46CC"/>
    <w:rsid w:val="009E6C74"/>
    <w:rsid w:val="00A267A9"/>
    <w:rsid w:val="00B10818"/>
    <w:rsid w:val="00BE0836"/>
    <w:rsid w:val="00C93E44"/>
    <w:rsid w:val="00CB5C6E"/>
    <w:rsid w:val="00CE01AD"/>
    <w:rsid w:val="00CF2812"/>
    <w:rsid w:val="00D40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B4A"/>
    <w:rPr>
      <w:rFonts w:eastAsia="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6B4A"/>
    <w:pPr>
      <w:tabs>
        <w:tab w:val="center" w:pos="4153"/>
        <w:tab w:val="right" w:pos="8306"/>
      </w:tabs>
    </w:pPr>
    <w:rPr>
      <w:rFonts w:ascii="Arial" w:hAnsi="Arial"/>
      <w:color w:val="auto"/>
      <w:szCs w:val="24"/>
      <w:lang w:eastAsia="en-US"/>
    </w:rPr>
  </w:style>
  <w:style w:type="character" w:styleId="Hyperlink">
    <w:name w:val="Hyperlink"/>
    <w:basedOn w:val="DefaultParagraphFont"/>
    <w:rsid w:val="00CB5C6E"/>
    <w:rPr>
      <w:color w:val="0000FF"/>
      <w:u w:val="single"/>
    </w:rPr>
  </w:style>
  <w:style w:type="character" w:styleId="FollowedHyperlink">
    <w:name w:val="FollowedHyperlink"/>
    <w:basedOn w:val="DefaultParagraphFont"/>
    <w:rsid w:val="00CB5C6E"/>
    <w:rPr>
      <w:color w:val="800080"/>
      <w:u w:val="single"/>
    </w:rPr>
  </w:style>
  <w:style w:type="paragraph" w:styleId="BalloonText">
    <w:name w:val="Balloon Text"/>
    <w:basedOn w:val="Normal"/>
    <w:semiHidden/>
    <w:rsid w:val="00BE0836"/>
    <w:rPr>
      <w:rFonts w:ascii="Arial" w:hAnsi="Arial" w:cs="Arial"/>
      <w:sz w:val="16"/>
      <w:szCs w:val="16"/>
    </w:rPr>
  </w:style>
  <w:style w:type="paragraph" w:styleId="Footer">
    <w:name w:val="footer"/>
    <w:basedOn w:val="Normal"/>
    <w:rsid w:val="007E0F7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CreditCwlthPB09Ex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CreditCwlthPB0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ttachments/CreditCwlthPB09_AinCE.pdf" TargetMode="External"/><Relationship Id="rId4" Type="http://schemas.openxmlformats.org/officeDocument/2006/relationships/webSettings" Target="webSettings.xml"/><Relationship Id="rId9" Type="http://schemas.openxmlformats.org/officeDocument/2006/relationships/hyperlink" Target="Attachments/CreditCwlthPB09_Ain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1628</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Cabinet –April 2010</vt:lpstr>
    </vt:vector>
  </TitlesOfParts>
  <Manager/>
  <Company/>
  <LinksUpToDate>false</LinksUpToDate>
  <CharactersWithSpaces>1918</CharactersWithSpaces>
  <SharedDoc>false</SharedDoc>
  <HyperlinkBase>https://www.cabinet.qld.gov.au/documents/2010/Apr/Credit Cmwlth Powers Bill 2009 - amendment/</HyperlinkBase>
  <HLinks>
    <vt:vector size="24" baseType="variant">
      <vt:variant>
        <vt:i4>8192079</vt:i4>
      </vt:variant>
      <vt:variant>
        <vt:i4>9</vt:i4>
      </vt:variant>
      <vt:variant>
        <vt:i4>0</vt:i4>
      </vt:variant>
      <vt:variant>
        <vt:i4>5</vt:i4>
      </vt:variant>
      <vt:variant>
        <vt:lpwstr>Attachments/CreditCwlthPB09_AinCE.pdf</vt:lpwstr>
      </vt:variant>
      <vt:variant>
        <vt:lpwstr/>
      </vt:variant>
      <vt:variant>
        <vt:i4>2162704</vt:i4>
      </vt:variant>
      <vt:variant>
        <vt:i4>6</vt:i4>
      </vt:variant>
      <vt:variant>
        <vt:i4>0</vt:i4>
      </vt:variant>
      <vt:variant>
        <vt:i4>5</vt:i4>
      </vt:variant>
      <vt:variant>
        <vt:lpwstr>Attachments/CreditCwlthPB09_AinC.pdf</vt:lpwstr>
      </vt:variant>
      <vt:variant>
        <vt:lpwstr/>
      </vt:variant>
      <vt:variant>
        <vt:i4>6357095</vt:i4>
      </vt:variant>
      <vt:variant>
        <vt:i4>3</vt:i4>
      </vt:variant>
      <vt:variant>
        <vt:i4>0</vt:i4>
      </vt:variant>
      <vt:variant>
        <vt:i4>5</vt:i4>
      </vt:variant>
      <vt:variant>
        <vt:lpwstr>Attachments/CreditCwlthPB09Exp.pdf</vt:lpwstr>
      </vt:variant>
      <vt:variant>
        <vt:lpwstr/>
      </vt:variant>
      <vt:variant>
        <vt:i4>2621477</vt:i4>
      </vt:variant>
      <vt:variant>
        <vt:i4>0</vt:i4>
      </vt:variant>
      <vt:variant>
        <vt:i4>0</vt:i4>
      </vt:variant>
      <vt:variant>
        <vt:i4>5</vt:i4>
      </vt:variant>
      <vt:variant>
        <vt:lpwstr>Attachments/CreditCwlthPB09.pdf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–April 2010</dc:title>
  <dc:subject/>
  <dc:creator/>
  <cp:keywords>credit,commonwealth,consumer</cp:keywords>
  <dc:description/>
  <cp:lastModifiedBy/>
  <cp:revision>2</cp:revision>
  <cp:lastPrinted>2010-05-05T00:59:00Z</cp:lastPrinted>
  <dcterms:created xsi:type="dcterms:W3CDTF">2017-10-24T22:17:00Z</dcterms:created>
  <dcterms:modified xsi:type="dcterms:W3CDTF">2018-03-06T01:00:00Z</dcterms:modified>
  <cp:category>Legislation,Fair_Trading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1011971795</vt:i4>
  </property>
  <property fmtid="{D5CDD505-2E9C-101B-9397-08002B2CF9AE}" pid="3" name="_NewReviewCycle">
    <vt:lpwstr/>
  </property>
  <property fmtid="{D5CDD505-2E9C-101B-9397-08002B2CF9AE}" pid="4" name="_ReviewingToolsShownOnce">
    <vt:lpwstr/>
  </property>
</Properties>
</file>